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52E" w14:textId="77777777" w:rsidR="005D049E" w:rsidRPr="00B66720" w:rsidRDefault="005D049E" w:rsidP="005D049E">
      <w:pPr>
        <w:rPr>
          <w:rFonts w:eastAsia="Times New Roman" w:cs="Times New Roman"/>
          <w:lang w:eastAsia="fr-FR"/>
        </w:rPr>
      </w:pPr>
      <w:r w:rsidRPr="00B66720">
        <w:rPr>
          <w:rFonts w:ascii="Calibri" w:eastAsia="Times New Roman" w:hAnsi="Calibri" w:cs="Calibri"/>
          <w:b/>
          <w:bCs/>
          <w:color w:val="4BA524"/>
          <w:lang w:eastAsia="fr-FR"/>
        </w:rPr>
        <w:t>Comme beaucoup de chercheurs au LEST, tu collectes et travailles sur des données ethnographiques... quels sont selon toi les effets possibles d'une part de la règlementation du RGPD et, d'autre part, de l'ouverture des données sur le travail de terrain, et le rapport aux enquêtés ?</w:t>
      </w:r>
    </w:p>
    <w:p w14:paraId="7EBAC3DB" w14:textId="77777777" w:rsidR="00777D39" w:rsidRDefault="00777D39"/>
    <w:p w14:paraId="1DD5136E" w14:textId="2CCB3ED4" w:rsidR="00F51DA7" w:rsidRPr="00F51DA7" w:rsidRDefault="00204EAB" w:rsidP="00D92999">
      <w:pPr>
        <w:ind w:firstLine="708"/>
      </w:pPr>
      <w:r>
        <w:t>Toutes</w:t>
      </w:r>
      <w:r w:rsidR="00F51DA7" w:rsidRPr="00F51DA7">
        <w:t xml:space="preserve"> c</w:t>
      </w:r>
      <w:r w:rsidR="003E6802" w:rsidRPr="00F51DA7">
        <w:t>es questions</w:t>
      </w:r>
      <w:r w:rsidR="00333A88" w:rsidRPr="00F51DA7">
        <w:t xml:space="preserve"> se posent de manière particulièrement vive</w:t>
      </w:r>
      <w:r w:rsidR="00F51DA7" w:rsidRPr="00F51DA7">
        <w:t xml:space="preserve"> </w:t>
      </w:r>
      <w:r w:rsidR="00333A88" w:rsidRPr="00F51DA7">
        <w:t>pour la recherche en SHS</w:t>
      </w:r>
      <w:r w:rsidR="00F51DA7" w:rsidRPr="00F51DA7">
        <w:t xml:space="preserve"> q</w:t>
      </w:r>
      <w:r w:rsidR="00333A88" w:rsidRPr="00F51DA7">
        <w:t>ui porte sur des personnes</w:t>
      </w:r>
      <w:r w:rsidR="00F51DA7" w:rsidRPr="00F51DA7">
        <w:t xml:space="preserve"> et p</w:t>
      </w:r>
      <w:r w:rsidR="00333A88" w:rsidRPr="00F51DA7">
        <w:t>our laquelle les données dites « sensibles » sont souvent les objets, les v</w:t>
      </w:r>
      <w:r w:rsidR="00A84C07" w:rsidRPr="00F51DA7">
        <w:t>a</w:t>
      </w:r>
      <w:r w:rsidR="00333A88" w:rsidRPr="00F51DA7">
        <w:t>riables-clés, bref, des éléments à observer, à enregistrer</w:t>
      </w:r>
      <w:r w:rsidR="00F51DA7" w:rsidRPr="00F51DA7">
        <w:t xml:space="preserve">. </w:t>
      </w:r>
      <w:r>
        <w:t>Mais c</w:t>
      </w:r>
      <w:r w:rsidR="00F51DA7" w:rsidRPr="00F51DA7">
        <w:t xml:space="preserve">’est </w:t>
      </w:r>
      <w:r w:rsidR="00333A88" w:rsidRPr="00F51DA7">
        <w:t xml:space="preserve">plus encore </w:t>
      </w:r>
      <w:r w:rsidR="00F51DA7" w:rsidRPr="00F51DA7">
        <w:t xml:space="preserve">le cas </w:t>
      </w:r>
      <w:r w:rsidR="00333A88" w:rsidRPr="00F51DA7">
        <w:t>lorsque la recherche met en œuvre des méthodes d’enquête intensives</w:t>
      </w:r>
      <w:r w:rsidR="007311AC" w:rsidRPr="00F51DA7">
        <w:t>, dès lors</w:t>
      </w:r>
      <w:r>
        <w:t xml:space="preserve"> </w:t>
      </w:r>
      <w:r w:rsidR="007311AC" w:rsidRPr="00F51DA7">
        <w:t>qu’elle propose des « études de cas »</w:t>
      </w:r>
      <w:r w:rsidR="00333A88" w:rsidRPr="00F51DA7">
        <w:t> : par ex</w:t>
      </w:r>
      <w:r w:rsidR="00F51DA7" w:rsidRPr="00F51DA7">
        <w:t>emple</w:t>
      </w:r>
      <w:r w:rsidR="00333A88" w:rsidRPr="00F51DA7">
        <w:t xml:space="preserve">, </w:t>
      </w:r>
      <w:r w:rsidR="00F51DA7" w:rsidRPr="00F51DA7">
        <w:t>avec la</w:t>
      </w:r>
      <w:r w:rsidR="00333A88" w:rsidRPr="00F51DA7">
        <w:t xml:space="preserve"> méthode biographique qui cumule les infos sur une seule personne (par entretiens, ou recueil de documents), </w:t>
      </w:r>
      <w:r w:rsidR="00F51DA7" w:rsidRPr="00F51DA7">
        <w:t>ou avec l</w:t>
      </w:r>
      <w:r w:rsidR="00333A88" w:rsidRPr="00F51DA7">
        <w:t>’ethnographie</w:t>
      </w:r>
      <w:r w:rsidR="000B1364" w:rsidRPr="00F51DA7">
        <w:t xml:space="preserve"> </w:t>
      </w:r>
      <w:r w:rsidR="00F51DA7" w:rsidRPr="00F51DA7">
        <w:t xml:space="preserve">que j’entends ici comme un travail sur un terrain circonscrit, </w:t>
      </w:r>
      <w:r w:rsidR="000D3288">
        <w:t xml:space="preserve">un lieu </w:t>
      </w:r>
      <w:r w:rsidR="00F51DA7" w:rsidRPr="00F51DA7">
        <w:t>d’interconnaissance, où le chercheur s’inscrit pour un temps long, où il est, du fait de cette durée, impliqué (en immersion), et où son attention se porte à la fois sur les individus, en tant qu’êtres sociaux, sur les interactions, et sur leur contexte social, qu’il y fasse usage d’entretiens, d’observation directe, de recueil de documents utilisés dans la situation ou de données quantifiables sur la situation.</w:t>
      </w:r>
    </w:p>
    <w:p w14:paraId="35800533" w14:textId="77777777" w:rsidR="000B1364" w:rsidRDefault="000B1364" w:rsidP="00F51DA7"/>
    <w:p w14:paraId="68E17DFD" w14:textId="4E30FFD4" w:rsidR="007E0CA7" w:rsidRDefault="00333A88" w:rsidP="00D92999">
      <w:pPr>
        <w:ind w:firstLine="708"/>
      </w:pPr>
      <w:r w:rsidRPr="00D92999">
        <w:t xml:space="preserve">D’emblée, </w:t>
      </w:r>
      <w:r w:rsidR="00E078D0" w:rsidRPr="00D92999">
        <w:t xml:space="preserve">et avant le RGPD et l’idée d’ouvrir les données d’enquête, </w:t>
      </w:r>
      <w:r w:rsidR="00F51DA7" w:rsidRPr="00D92999">
        <w:t>l’ethnographie</w:t>
      </w:r>
      <w:r w:rsidR="00E078D0" w:rsidRPr="00D92999">
        <w:t xml:space="preserve"> a suscité </w:t>
      </w:r>
      <w:r w:rsidR="007E0CA7" w:rsidRPr="00D92999">
        <w:t xml:space="preserve">une vigilance épistémologique et </w:t>
      </w:r>
      <w:r w:rsidR="00E078D0" w:rsidRPr="00D92999">
        <w:t>des débats éthiques</w:t>
      </w:r>
      <w:r w:rsidR="00AB2A15">
        <w:t xml:space="preserve"> davantage que les autres méthodes</w:t>
      </w:r>
      <w:r w:rsidR="00F51DA7" w:rsidRPr="00D92999">
        <w:t xml:space="preserve">, notamment </w:t>
      </w:r>
      <w:r w:rsidR="00E078D0" w:rsidRPr="00D92999">
        <w:t xml:space="preserve">parce que </w:t>
      </w:r>
      <w:r w:rsidR="007E0CA7" w:rsidRPr="00D92999">
        <w:t xml:space="preserve">les relations nouées sur le terrain et </w:t>
      </w:r>
      <w:r w:rsidR="00E078D0" w:rsidRPr="00D92999">
        <w:t xml:space="preserve">la publication </w:t>
      </w:r>
      <w:r w:rsidR="00A84C07" w:rsidRPr="00D92999">
        <w:t>pos</w:t>
      </w:r>
      <w:r w:rsidR="000B1364" w:rsidRPr="00D92999">
        <w:t>ai</w:t>
      </w:r>
      <w:r w:rsidR="00A84C07" w:rsidRPr="00D92999">
        <w:t>e</w:t>
      </w:r>
      <w:r w:rsidR="005D049E" w:rsidRPr="00D92999">
        <w:t>nt</w:t>
      </w:r>
      <w:r w:rsidR="00E078D0" w:rsidRPr="00D92999">
        <w:t xml:space="preserve"> des </w:t>
      </w:r>
      <w:r w:rsidR="00F51DA7" w:rsidRPr="00D92999">
        <w:t>problèmes</w:t>
      </w:r>
      <w:r w:rsidR="000B1364" w:rsidRPr="00D92999">
        <w:t>,</w:t>
      </w:r>
      <w:r w:rsidR="00E078D0" w:rsidRPr="00D92999">
        <w:t xml:space="preserve"> </w:t>
      </w:r>
      <w:r w:rsidR="000B1364" w:rsidRPr="00D92999">
        <w:t>perçus depuis longtemps aux E</w:t>
      </w:r>
      <w:r w:rsidR="00F51DA7" w:rsidRPr="00D92999">
        <w:t>tats-</w:t>
      </w:r>
      <w:r w:rsidR="000B1364" w:rsidRPr="00D92999">
        <w:t>U</w:t>
      </w:r>
      <w:r w:rsidR="00F51DA7" w:rsidRPr="00D92999">
        <w:t>nis</w:t>
      </w:r>
      <w:r w:rsidR="000B1364" w:rsidRPr="00D92999">
        <w:t xml:space="preserve"> et plus récemment discutés en France (par e</w:t>
      </w:r>
      <w:r w:rsidR="00E45327">
        <w:t>xemple</w:t>
      </w:r>
      <w:r w:rsidR="000B1364" w:rsidRPr="00D92999">
        <w:t>., Laurens, Neyrat,</w:t>
      </w:r>
      <w:r w:rsidR="000B1364">
        <w:t xml:space="preserve"> 2010 ; Aldrin </w:t>
      </w:r>
      <w:r w:rsidR="000B1364" w:rsidRPr="00E45327">
        <w:rPr>
          <w:i/>
          <w:iCs/>
        </w:rPr>
        <w:t>et alii</w:t>
      </w:r>
      <w:r w:rsidR="00D92999">
        <w:t>, 202</w:t>
      </w:r>
      <w:r w:rsidR="00E45327">
        <w:t>2</w:t>
      </w:r>
      <w:r w:rsidR="000B1364">
        <w:t xml:space="preserve">), notamment </w:t>
      </w:r>
      <w:r w:rsidR="00F51DA7">
        <w:t>des problèmes</w:t>
      </w:r>
      <w:r w:rsidR="000B1364">
        <w:t xml:space="preserve"> </w:t>
      </w:r>
      <w:r w:rsidR="00E078D0">
        <w:t xml:space="preserve">de protection des </w:t>
      </w:r>
      <w:r w:rsidR="004522B8">
        <w:t>enquêtés</w:t>
      </w:r>
      <w:r w:rsidR="00F51DA7">
        <w:t>. Et ce, d</w:t>
      </w:r>
      <w:r w:rsidR="00E078D0">
        <w:t xml:space="preserve">’autant plus que l’ethnographie </w:t>
      </w:r>
      <w:r w:rsidR="007E0CA7">
        <w:t>s’</w:t>
      </w:r>
      <w:r w:rsidR="00E078D0">
        <w:t xml:space="preserve">est </w:t>
      </w:r>
      <w:r w:rsidR="007E0CA7">
        <w:t xml:space="preserve">montrée </w:t>
      </w:r>
      <w:r w:rsidR="00E078D0">
        <w:t>particulièrement efficace pour étudier et mettre au jour des pratiques déviantes, ou en tout cas cachées, qui n</w:t>
      </w:r>
      <w:r w:rsidR="000B1364">
        <w:t xml:space="preserve">e peuvent </w:t>
      </w:r>
      <w:r w:rsidR="00E078D0">
        <w:t>appara</w:t>
      </w:r>
      <w:r w:rsidR="000B1364">
        <w:t>ître auprès d’un enquêteur</w:t>
      </w:r>
      <w:r w:rsidR="00E078D0">
        <w:t xml:space="preserve"> que sur le temps long, dans le cadre d’une relation suivie avec </w:t>
      </w:r>
      <w:r w:rsidR="000B1364">
        <w:t>lui</w:t>
      </w:r>
      <w:r w:rsidR="007E0CA7">
        <w:t xml:space="preserve">, </w:t>
      </w:r>
      <w:r w:rsidR="00777D39">
        <w:t xml:space="preserve">d’une </w:t>
      </w:r>
      <w:r w:rsidR="007E0CA7">
        <w:t xml:space="preserve">relation </w:t>
      </w:r>
      <w:r w:rsidR="00777D39">
        <w:t xml:space="preserve">marquée par la </w:t>
      </w:r>
      <w:r w:rsidR="007E0CA7">
        <w:t>confiance</w:t>
      </w:r>
      <w:r w:rsidR="001439DB">
        <w:t xml:space="preserve">. </w:t>
      </w:r>
      <w:r w:rsidR="00F51DA7">
        <w:t>E</w:t>
      </w:r>
      <w:r w:rsidR="007E0CA7">
        <w:t xml:space="preserve">n France, jusqu’ici, la confiance avait </w:t>
      </w:r>
      <w:r w:rsidR="00777D39" w:rsidRPr="00777D39">
        <w:t xml:space="preserve">pour </w:t>
      </w:r>
      <w:r w:rsidR="00777D39">
        <w:t>contre</w:t>
      </w:r>
      <w:r w:rsidR="007E0CA7">
        <w:t xml:space="preserve">partie une garantie d’anonymat en général donnée </w:t>
      </w:r>
      <w:r w:rsidR="000B1364">
        <w:t xml:space="preserve">oralement </w:t>
      </w:r>
      <w:r w:rsidR="007E0CA7">
        <w:t>à certains, et était mise à l’épreuve des relations nouées sur le terrain dans la durée</w:t>
      </w:r>
      <w:r w:rsidR="000B1364">
        <w:t xml:space="preserve"> (et pouvait être levée).</w:t>
      </w:r>
    </w:p>
    <w:p w14:paraId="692459AF" w14:textId="77777777" w:rsidR="007E0CA7" w:rsidRPr="00247AFF" w:rsidRDefault="007E0CA7" w:rsidP="00333A88"/>
    <w:p w14:paraId="34094DF6" w14:textId="2C82373C" w:rsidR="00521CC7" w:rsidRDefault="00F51DA7" w:rsidP="006613E1">
      <w:pPr>
        <w:ind w:firstLine="708"/>
      </w:pPr>
      <w:r w:rsidRPr="00247AFF">
        <w:t>On peut se demander si les propositions du</w:t>
      </w:r>
      <w:r w:rsidR="0008152A" w:rsidRPr="00247AFF">
        <w:t xml:space="preserve"> RGPD</w:t>
      </w:r>
      <w:r w:rsidRPr="00247AFF">
        <w:t>,</w:t>
      </w:r>
      <w:r w:rsidR="0008152A" w:rsidRPr="00247AFF">
        <w:t xml:space="preserve"> </w:t>
      </w:r>
      <w:r w:rsidRPr="00247AFF">
        <w:t>par exemple autour du</w:t>
      </w:r>
      <w:r w:rsidR="0008152A" w:rsidRPr="00247AFF">
        <w:t xml:space="preserve"> consentement des enquêtés</w:t>
      </w:r>
      <w:r w:rsidRPr="00247AFF">
        <w:t>, sont</w:t>
      </w:r>
      <w:r w:rsidR="0008152A" w:rsidRPr="00247AFF">
        <w:t xml:space="preserve"> ajustée</w:t>
      </w:r>
      <w:r w:rsidRPr="00247AFF">
        <w:t>s</w:t>
      </w:r>
      <w:r w:rsidR="0008152A" w:rsidRPr="00247AFF">
        <w:t xml:space="preserve"> à l’ethnographie</w:t>
      </w:r>
      <w:r w:rsidR="000A3D36" w:rsidRPr="00247AFF">
        <w:t xml:space="preserve"> pour diverses raisons. D’abord, le t</w:t>
      </w:r>
      <w:r w:rsidR="0008152A" w:rsidRPr="00247AFF">
        <w:t>ravail ethnographique</w:t>
      </w:r>
      <w:r w:rsidR="000D3288">
        <w:t>, du fait de sa temporalité et des relations entre l’enquêteur et les enquêtés, permet de contrarier certaines stratégies de contrôle de soi des enquêtés</w:t>
      </w:r>
      <w:r w:rsidR="0008152A" w:rsidRPr="00247AFF">
        <w:t xml:space="preserve"> : or, demander </w:t>
      </w:r>
      <w:r w:rsidR="005D049E" w:rsidRPr="00247AFF">
        <w:t>un</w:t>
      </w:r>
      <w:r w:rsidR="0008152A" w:rsidRPr="00247AFF">
        <w:t xml:space="preserve"> consentement écrit donne une</w:t>
      </w:r>
      <w:r w:rsidR="0008152A">
        <w:t xml:space="preserve"> certaine gravité à la situation qui peut susciter </w:t>
      </w:r>
      <w:r w:rsidR="000B1364">
        <w:t xml:space="preserve">une méfiance, </w:t>
      </w:r>
      <w:r w:rsidR="0008152A">
        <w:t xml:space="preserve">des ajustements de comportements difficiles </w:t>
      </w:r>
      <w:r w:rsidR="00777D39">
        <w:t xml:space="preserve">à repérer et impossibles </w:t>
      </w:r>
      <w:r w:rsidR="0008152A">
        <w:t xml:space="preserve">à </w:t>
      </w:r>
      <w:r w:rsidR="00777D39">
        <w:t>« redresser »</w:t>
      </w:r>
      <w:r w:rsidR="000A3D36">
        <w:t>. Ensuite,  sur certains terrains, l</w:t>
      </w:r>
      <w:r w:rsidR="0008152A">
        <w:t>a liste des enquêtés à qui demander le consentement n’</w:t>
      </w:r>
      <w:r w:rsidR="005D049E">
        <w:t xml:space="preserve">est pas donnée d’emblée et il sera impossible de demander le consentement de chacun sans nuire à l’enquête ni surtout sans nuire au milieu dans lequel on enquête : </w:t>
      </w:r>
      <w:r w:rsidR="000A3D36">
        <w:t>la p</w:t>
      </w:r>
      <w:r w:rsidR="0008152A">
        <w:t xml:space="preserve">résence longue sur le terrain, en adoptant parfois un rôle ordinaire, conduit à rencontrer des personnes de passage, sur lesquelles on </w:t>
      </w:r>
      <w:r w:rsidR="000A3D36">
        <w:t>cumule</w:t>
      </w:r>
      <w:r w:rsidR="0008152A">
        <w:t xml:space="preserve"> des info</w:t>
      </w:r>
      <w:r w:rsidR="000A3D36">
        <w:t>rmations</w:t>
      </w:r>
      <w:r w:rsidR="0008152A">
        <w:t>, mais à qui on ne peut s’adresser pour demander leur consentement, sous peine de ne pas pouvoir tenir notre rôle</w:t>
      </w:r>
      <w:r w:rsidR="000A3D36">
        <w:t xml:space="preserve">, par exemple lorsqu’on occupe un emploi de service : </w:t>
      </w:r>
      <w:r w:rsidR="00AB2A15">
        <w:t xml:space="preserve">par exemple </w:t>
      </w:r>
      <w:r w:rsidR="000A3D36">
        <w:t xml:space="preserve">pour les clients ou </w:t>
      </w:r>
      <w:r w:rsidR="00AB2A15">
        <w:t xml:space="preserve">pour les </w:t>
      </w:r>
      <w:r w:rsidR="000A3D36">
        <w:t>usage</w:t>
      </w:r>
      <w:r w:rsidR="00AB2A15">
        <w:t>r</w:t>
      </w:r>
      <w:r w:rsidR="000A3D36">
        <w:t>s</w:t>
      </w:r>
      <w:r w:rsidR="0008152A">
        <w:t xml:space="preserve">, le sociologue restera </w:t>
      </w:r>
      <w:r w:rsidR="0008152A" w:rsidRPr="000A3D36">
        <w:rPr>
          <w:i/>
          <w:iCs/>
        </w:rPr>
        <w:t>incognito</w:t>
      </w:r>
      <w:r w:rsidR="0008152A">
        <w:t xml:space="preserve">, confondu avec les travailleurs eux-mêmes. </w:t>
      </w:r>
      <w:r w:rsidR="000A3D36">
        <w:t>Enfin, ce t</w:t>
      </w:r>
      <w:r w:rsidR="005D049E">
        <w:t xml:space="preserve">ravail relève d’une démarche inductive : on débute avec </w:t>
      </w:r>
      <w:r w:rsidR="000A3D36">
        <w:t>quelques</w:t>
      </w:r>
      <w:r w:rsidR="005D049E">
        <w:t xml:space="preserve"> idées en tête mais on ne sait pas ce qu’il en sera </w:t>
      </w:r>
      <w:r w:rsidR="000A3D36">
        <w:t>quelques</w:t>
      </w:r>
      <w:r w:rsidR="005D049E">
        <w:t xml:space="preserve"> mois ou années plus tard : </w:t>
      </w:r>
      <w:r w:rsidR="000A3D36">
        <w:t xml:space="preserve">il est donc </w:t>
      </w:r>
      <w:r w:rsidR="005D049E">
        <w:t xml:space="preserve">difficile de dire </w:t>
      </w:r>
      <w:r w:rsidR="000A3D36">
        <w:t xml:space="preserve">aux </w:t>
      </w:r>
      <w:r w:rsidR="005D049E">
        <w:t xml:space="preserve">enquêtés </w:t>
      </w:r>
      <w:r w:rsidR="000A3D36">
        <w:t xml:space="preserve">à quoi ils </w:t>
      </w:r>
      <w:r w:rsidR="005D049E">
        <w:t>vont consentir</w:t>
      </w:r>
      <w:r w:rsidR="000D3288">
        <w:t xml:space="preserve"> précisément</w:t>
      </w:r>
      <w:r w:rsidR="000A3D36">
        <w:t>, l</w:t>
      </w:r>
      <w:r w:rsidR="00E45327">
        <w:t>’</w:t>
      </w:r>
      <w:r w:rsidR="005D049E">
        <w:t>énoncé initial qui emporte le consentement ne correspond</w:t>
      </w:r>
      <w:r w:rsidR="000A3D36">
        <w:t>ant</w:t>
      </w:r>
      <w:r w:rsidR="005D049E">
        <w:t xml:space="preserve"> pas forcément à l’ensemble des questions qui seront posées, à l’ensemble des sujets qui seront traités. </w:t>
      </w:r>
    </w:p>
    <w:p w14:paraId="627573F3" w14:textId="77777777" w:rsidR="005D049E" w:rsidRPr="00E45327" w:rsidRDefault="005D049E" w:rsidP="005D049E"/>
    <w:p w14:paraId="33A63E91" w14:textId="066FBA21" w:rsidR="00440496" w:rsidRPr="00E45327" w:rsidRDefault="000D6AA8" w:rsidP="006613E1">
      <w:pPr>
        <w:ind w:firstLine="708"/>
      </w:pPr>
      <w:r w:rsidRPr="00E45327">
        <w:t>Concernant la mise à disposition des données</w:t>
      </w:r>
      <w:r w:rsidR="000A3D36" w:rsidRPr="00E45327">
        <w:t xml:space="preserve">, c’est </w:t>
      </w:r>
      <w:r w:rsidR="00AB2A15">
        <w:t xml:space="preserve">une démarche </w:t>
      </w:r>
      <w:r w:rsidR="00440496" w:rsidRPr="00E45327">
        <w:t>très séduisant</w:t>
      </w:r>
      <w:r w:rsidR="00AB2A15">
        <w:t>e</w:t>
      </w:r>
      <w:r w:rsidR="000D3288">
        <w:t xml:space="preserve"> à la fois</w:t>
      </w:r>
      <w:r w:rsidR="00440496" w:rsidRPr="00E45327">
        <w:t xml:space="preserve"> pour </w:t>
      </w:r>
      <w:r w:rsidR="000D3288">
        <w:t xml:space="preserve">asseoir </w:t>
      </w:r>
      <w:r w:rsidR="00440496" w:rsidRPr="00E45327">
        <w:t>notre légitimité scientifique</w:t>
      </w:r>
      <w:r w:rsidR="000D3288">
        <w:t xml:space="preserve"> </w:t>
      </w:r>
      <w:r w:rsidR="000A3D36" w:rsidRPr="00E45327">
        <w:t xml:space="preserve">et pour </w:t>
      </w:r>
      <w:r w:rsidR="00E15C59" w:rsidRPr="00E45327">
        <w:t>permettre la revisite de nos terrains</w:t>
      </w:r>
      <w:r w:rsidR="000A3D36" w:rsidRPr="00E45327">
        <w:t xml:space="preserve">. </w:t>
      </w:r>
      <w:r w:rsidR="000A3D36" w:rsidRPr="00E45327">
        <w:lastRenderedPageBreak/>
        <w:t>Cependant, l</w:t>
      </w:r>
      <w:r w:rsidR="00440496" w:rsidRPr="00E45327">
        <w:t>e retour d’expérience de c</w:t>
      </w:r>
      <w:r w:rsidR="005D049E" w:rsidRPr="00E45327">
        <w:t xml:space="preserve">eux qui </w:t>
      </w:r>
      <w:r w:rsidR="00440496" w:rsidRPr="00E45327">
        <w:t xml:space="preserve">l’ont </w:t>
      </w:r>
      <w:r w:rsidR="005D049E" w:rsidRPr="00E45327">
        <w:t xml:space="preserve">fait </w:t>
      </w:r>
      <w:r w:rsidRPr="00E45327">
        <w:t xml:space="preserve">pour ce genre de </w:t>
      </w:r>
      <w:r w:rsidR="00440496" w:rsidRPr="00E45327">
        <w:t xml:space="preserve">démarche d’enquête </w:t>
      </w:r>
      <w:r w:rsidR="000A3D36" w:rsidRPr="00E45327">
        <w:t xml:space="preserve">comme </w:t>
      </w:r>
      <w:r w:rsidRPr="00E45327">
        <w:t xml:space="preserve">Daniel </w:t>
      </w:r>
      <w:proofErr w:type="spellStart"/>
      <w:r w:rsidRPr="00E45327">
        <w:t>Bizeul</w:t>
      </w:r>
      <w:proofErr w:type="spellEnd"/>
      <w:r w:rsidR="00440496" w:rsidRPr="00E45327">
        <w:t>,</w:t>
      </w:r>
      <w:r w:rsidRPr="00E45327">
        <w:t xml:space="preserve"> </w:t>
      </w:r>
      <w:r w:rsidR="000D3288">
        <w:t xml:space="preserve">à la suite de son travail sur </w:t>
      </w:r>
      <w:r w:rsidR="00440496" w:rsidRPr="00E45327">
        <w:t>le Front</w:t>
      </w:r>
      <w:r w:rsidR="00E15C59" w:rsidRPr="00E45327">
        <w:t xml:space="preserve"> </w:t>
      </w:r>
      <w:r w:rsidR="00440496" w:rsidRPr="00E45327">
        <w:t>National</w:t>
      </w:r>
      <w:r w:rsidR="000D3288">
        <w:t xml:space="preserve"> (</w:t>
      </w:r>
      <w:proofErr w:type="spellStart"/>
      <w:r w:rsidR="000D3288">
        <w:t>Bizeul</w:t>
      </w:r>
      <w:proofErr w:type="spellEnd"/>
      <w:r w:rsidR="000D3288">
        <w:t>, 2021</w:t>
      </w:r>
      <w:r w:rsidR="00440496" w:rsidRPr="00E45327">
        <w:t>)</w:t>
      </w:r>
      <w:r w:rsidR="00E15C59" w:rsidRPr="00E45327">
        <w:t xml:space="preserve"> </w:t>
      </w:r>
      <w:r w:rsidR="005D049E" w:rsidRPr="00E45327">
        <w:t xml:space="preserve">n’encourage pas </w:t>
      </w:r>
      <w:r w:rsidRPr="00E45327">
        <w:t xml:space="preserve">tellement </w:t>
      </w:r>
      <w:r w:rsidR="005D049E" w:rsidRPr="00E45327">
        <w:t xml:space="preserve">à le faire. </w:t>
      </w:r>
    </w:p>
    <w:p w14:paraId="2051B587" w14:textId="77777777" w:rsidR="00440496" w:rsidRPr="00E45327" w:rsidRDefault="00440496" w:rsidP="005D049E"/>
    <w:p w14:paraId="0792EF9E" w14:textId="5E9AAEA6" w:rsidR="00E15C59" w:rsidRDefault="003E3CA2" w:rsidP="006613E1">
      <w:pPr>
        <w:ind w:firstLine="708"/>
      </w:pPr>
      <w:r>
        <w:t>C’est d’abord un</w:t>
      </w:r>
      <w:r w:rsidR="00E45327">
        <w:t xml:space="preserve"> t</w:t>
      </w:r>
      <w:r w:rsidR="00E15C59" w:rsidRPr="00E45327">
        <w:t>ravail qui paraît titanesque</w:t>
      </w:r>
      <w:r w:rsidR="00E45327">
        <w:t xml:space="preserve">. </w:t>
      </w:r>
      <w:r w:rsidR="00E15C59" w:rsidRPr="00E45327">
        <w:t>D</w:t>
      </w:r>
      <w:r>
        <w:t>avantage que pour d’autres types de matériaux, d</w:t>
      </w:r>
      <w:r w:rsidR="00E15C59" w:rsidRPr="00E45327">
        <w:t>u fait du format</w:t>
      </w:r>
      <w:r w:rsidR="00E45327">
        <w:t xml:space="preserve"> des données ethnographiques</w:t>
      </w:r>
      <w:r w:rsidR="00E15C59" w:rsidRPr="00E45327">
        <w:t xml:space="preserve"> : </w:t>
      </w:r>
      <w:r w:rsidR="00E45327">
        <w:t>avec des</w:t>
      </w:r>
      <w:r w:rsidR="00E15C59" w:rsidRPr="00E45327">
        <w:t xml:space="preserve"> carnets de notes parfois manuscrits (nécessairement sur certains terrains) et très nombreux, auxquels sont associés des matériaux de natures diverses : documents ou paroles recueillies sur le terrain. Du fait du type d’informations : </w:t>
      </w:r>
      <w:r w:rsidR="00E45327">
        <w:t>essentiellement</w:t>
      </w:r>
      <w:r w:rsidR="00E15C59" w:rsidRPr="00E45327">
        <w:t xml:space="preserve"> des </w:t>
      </w:r>
      <w:r w:rsidR="00E45327" w:rsidRPr="00E45327">
        <w:t>info</w:t>
      </w:r>
      <w:r w:rsidR="00E45327">
        <w:t>rmations</w:t>
      </w:r>
      <w:r w:rsidR="00E15C59" w:rsidRPr="00E45327">
        <w:t xml:space="preserve"> personnelles, </w:t>
      </w:r>
      <w:r w:rsidR="00EC7566">
        <w:t>qui risquent de perdre de l’intérêt</w:t>
      </w:r>
      <w:r w:rsidR="00E15C59" w:rsidRPr="00E45327">
        <w:t xml:space="preserve"> si elles sont </w:t>
      </w:r>
      <w:r w:rsidR="00EC7566">
        <w:t xml:space="preserve">« trop » </w:t>
      </w:r>
      <w:r w:rsidR="00E15C59" w:rsidRPr="00E45327">
        <w:t>anonymisé</w:t>
      </w:r>
      <w:r w:rsidR="00E45327">
        <w:t>es.</w:t>
      </w:r>
      <w:r w:rsidR="00EC7566">
        <w:t xml:space="preserve"> Cette anonymisation est parfois impossible : par exemple en travaillant sur l’unique centre industriel hospitalier de production de médicaments, je me suis censurée en ne publiant qu’un seul article sur cette organisation </w:t>
      </w:r>
      <w:r w:rsidR="00EC7566">
        <w:t>reconnaissable</w:t>
      </w:r>
      <w:r w:rsidR="00EC7566">
        <w:t xml:space="preserve"> (</w:t>
      </w:r>
      <w:proofErr w:type="spellStart"/>
      <w:r w:rsidR="00EC7566">
        <w:t>Arborio</w:t>
      </w:r>
      <w:proofErr w:type="spellEnd"/>
      <w:r w:rsidR="00EC7566">
        <w:t>, 2014), sans pouvoir citer trop précisément ses acteurs, d’autant que celle-ci avait été le lieu de très vives tensions.</w:t>
      </w:r>
    </w:p>
    <w:p w14:paraId="35DD788A" w14:textId="7464F0C0" w:rsidR="00E45327" w:rsidRDefault="00E45327" w:rsidP="00E15C59"/>
    <w:p w14:paraId="30238015" w14:textId="16D4DF09" w:rsidR="00E15C59" w:rsidRPr="00E45327" w:rsidRDefault="00B80C47" w:rsidP="006613E1">
      <w:pPr>
        <w:ind w:firstLine="708"/>
      </w:pPr>
      <w:r>
        <w:t>C’est ensuite un travail qui peut sembler</w:t>
      </w:r>
      <w:r w:rsidR="00E15C59" w:rsidRPr="00E45327">
        <w:t xml:space="preserve"> un peu vain</w:t>
      </w:r>
      <w:r>
        <w:t xml:space="preserve">, du moins si l’on considère comme le fait </w:t>
      </w:r>
      <w:r w:rsidR="00E15C59" w:rsidRPr="00E45327">
        <w:t>D</w:t>
      </w:r>
      <w:r w:rsidR="00E45327">
        <w:t xml:space="preserve">aniel </w:t>
      </w:r>
      <w:proofErr w:type="spellStart"/>
      <w:r w:rsidR="00E15C59" w:rsidRPr="00E45327">
        <w:t>B</w:t>
      </w:r>
      <w:r w:rsidR="00E45327">
        <w:t>izeul</w:t>
      </w:r>
      <w:proofErr w:type="spellEnd"/>
      <w:r w:rsidR="00E45327">
        <w:t xml:space="preserve"> </w:t>
      </w:r>
      <w:r>
        <w:t>(</w:t>
      </w:r>
      <w:r w:rsidR="00EC7566">
        <w:t>2021</w:t>
      </w:r>
      <w:r>
        <w:t xml:space="preserve">) </w:t>
      </w:r>
      <w:r w:rsidR="00E15C59" w:rsidRPr="00E45327">
        <w:t>le faible réemploi de</w:t>
      </w:r>
      <w:r w:rsidR="00E45327">
        <w:t xml:space="preserve"> telle</w:t>
      </w:r>
      <w:r w:rsidR="00E15C59" w:rsidRPr="00E45327">
        <w:t xml:space="preserve">s données </w:t>
      </w:r>
      <w:r>
        <w:t xml:space="preserve">lorsqu’elles ont été </w:t>
      </w:r>
      <w:r w:rsidR="00E15C59" w:rsidRPr="00E45327">
        <w:t>conservées dans d’autres pays</w:t>
      </w:r>
      <w:r>
        <w:t>. Les difficultés de la revisit</w:t>
      </w:r>
      <w:r w:rsidR="00BB3746">
        <w:t>e</w:t>
      </w:r>
      <w:r>
        <w:t xml:space="preserve"> de ces matériaux tiennent notam</w:t>
      </w:r>
      <w:r w:rsidR="00BB3746">
        <w:t>m</w:t>
      </w:r>
      <w:r>
        <w:t xml:space="preserve">ent aux difficultés d’interprétation des notes d’un tiers enquêteur. Daniel </w:t>
      </w:r>
      <w:proofErr w:type="spellStart"/>
      <w:r>
        <w:t>Bizeul</w:t>
      </w:r>
      <w:proofErr w:type="spellEnd"/>
      <w:r>
        <w:t xml:space="preserve"> </w:t>
      </w:r>
      <w:r w:rsidR="00E15C59" w:rsidRPr="00E45327">
        <w:t xml:space="preserve">se demande </w:t>
      </w:r>
      <w:r>
        <w:t xml:space="preserve">en tout cas </w:t>
      </w:r>
      <w:r w:rsidR="00E15C59" w:rsidRPr="00E45327">
        <w:t xml:space="preserve">qui sera </w:t>
      </w:r>
      <w:r w:rsidR="00247AFF">
        <w:t xml:space="preserve">vraiment </w:t>
      </w:r>
      <w:r w:rsidR="00E15C59" w:rsidRPr="00E45327">
        <w:t xml:space="preserve">capable d’interpréter </w:t>
      </w:r>
      <w:r w:rsidR="00E45327">
        <w:t>l</w:t>
      </w:r>
      <w:r w:rsidR="00E15C59" w:rsidRPr="00E45327">
        <w:t>es notes</w:t>
      </w:r>
      <w:r w:rsidR="00E45327">
        <w:t xml:space="preserve"> de terrain qu’il a déposées.</w:t>
      </w:r>
    </w:p>
    <w:p w14:paraId="6A0CDB81" w14:textId="77777777" w:rsidR="00521CC7" w:rsidRPr="00E45327" w:rsidRDefault="00521CC7" w:rsidP="005D049E"/>
    <w:p w14:paraId="617F4E5A" w14:textId="1644D75F" w:rsidR="001B05F1" w:rsidRPr="00E45327" w:rsidRDefault="00E15C59" w:rsidP="006613E1">
      <w:pPr>
        <w:ind w:firstLine="708"/>
      </w:pPr>
      <w:r w:rsidRPr="00E45327">
        <w:t xml:space="preserve">On </w:t>
      </w:r>
      <w:r w:rsidR="00521CC7" w:rsidRPr="00E45327">
        <w:t xml:space="preserve">pourrait </w:t>
      </w:r>
      <w:r w:rsidR="00B80C47">
        <w:t>objecter que ces difficultés seront levées dans les</w:t>
      </w:r>
      <w:r w:rsidR="00521CC7" w:rsidRPr="00E45327">
        <w:t xml:space="preserve"> </w:t>
      </w:r>
      <w:r w:rsidR="00E45327">
        <w:t>recherches en cours ou à venir</w:t>
      </w:r>
      <w:r w:rsidR="00B80C47">
        <w:t> : les chercheurs pourront anticiper le travail de mise à disposition des données au moment même de l’enquête. Cependant,</w:t>
      </w:r>
      <w:r w:rsidR="00521CC7" w:rsidRPr="00E45327">
        <w:t xml:space="preserve"> on </w:t>
      </w:r>
      <w:r w:rsidRPr="00E45327">
        <w:t xml:space="preserve">peut se demander si </w:t>
      </w:r>
      <w:r w:rsidR="00E45327">
        <w:t xml:space="preserve">le fait d’enquêter sur un terrain en </w:t>
      </w:r>
      <w:r w:rsidR="00B80C47">
        <w:t>en ayant en tête que l</w:t>
      </w:r>
      <w:r w:rsidR="005D049E" w:rsidRPr="00E45327">
        <w:t xml:space="preserve">es notes </w:t>
      </w:r>
      <w:r w:rsidR="000B1364" w:rsidRPr="00E45327">
        <w:t xml:space="preserve">brutes </w:t>
      </w:r>
      <w:r w:rsidR="005D049E" w:rsidRPr="00E45327">
        <w:t>de ter</w:t>
      </w:r>
      <w:r w:rsidRPr="00E45327">
        <w:t>r</w:t>
      </w:r>
      <w:r w:rsidR="005D049E" w:rsidRPr="00E45327">
        <w:t xml:space="preserve">ain </w:t>
      </w:r>
      <w:r w:rsidR="00B80C47">
        <w:t xml:space="preserve">seront ensuite diffusées </w:t>
      </w:r>
      <w:r w:rsidRPr="00E45327">
        <w:t xml:space="preserve">ne </w:t>
      </w:r>
      <w:r w:rsidR="00E45327">
        <w:t xml:space="preserve">risque pas de </w:t>
      </w:r>
      <w:r w:rsidR="005D049E" w:rsidRPr="00E45327">
        <w:t>nui</w:t>
      </w:r>
      <w:r w:rsidR="00E45327">
        <w:t>re</w:t>
      </w:r>
      <w:r w:rsidR="005D049E" w:rsidRPr="00E45327">
        <w:t xml:space="preserve"> à l</w:t>
      </w:r>
      <w:r w:rsidR="00B80C47">
        <w:t xml:space="preserve">a qualité du recueil </w:t>
      </w:r>
      <w:r w:rsidR="005D049E" w:rsidRPr="00E45327">
        <w:t>ethnographie</w:t>
      </w:r>
      <w:r w:rsidR="006613E1">
        <w:t xml:space="preserve">. </w:t>
      </w:r>
      <w:r w:rsidR="00777D39" w:rsidRPr="00E45327">
        <w:t xml:space="preserve">Cela </w:t>
      </w:r>
      <w:r w:rsidR="00E45327">
        <w:t xml:space="preserve">risque de </w:t>
      </w:r>
      <w:r w:rsidR="00777D39" w:rsidRPr="00E45327">
        <w:t>conduir</w:t>
      </w:r>
      <w:r w:rsidR="00E45327">
        <w:t>e</w:t>
      </w:r>
      <w:r w:rsidR="00777D39" w:rsidRPr="00E45327">
        <w:t xml:space="preserve"> </w:t>
      </w:r>
      <w:r w:rsidR="00E45327">
        <w:t xml:space="preserve">l’ethnographe par exemple </w:t>
      </w:r>
      <w:r w:rsidR="00777D39" w:rsidRPr="00E45327">
        <w:t xml:space="preserve">à </w:t>
      </w:r>
      <w:r w:rsidR="00E45327">
        <w:t>t</w:t>
      </w:r>
      <w:r w:rsidR="00BC39CE" w:rsidRPr="00E45327">
        <w:t xml:space="preserve">rier trop </w:t>
      </w:r>
      <w:r w:rsidR="00777D39" w:rsidRPr="00E45327">
        <w:t xml:space="preserve">tôt </w:t>
      </w:r>
      <w:r w:rsidR="00BC39CE" w:rsidRPr="00E45327">
        <w:t xml:space="preserve">les notes pour éviter le travail d’anonymisation </w:t>
      </w:r>
      <w:r w:rsidR="00E45327">
        <w:t>qui doit suivre.</w:t>
      </w:r>
      <w:r w:rsidR="00BC39CE" w:rsidRPr="00E45327">
        <w:t xml:space="preserve"> </w:t>
      </w:r>
      <w:r w:rsidR="00E45327">
        <w:t>Cela lui fait également courir le risque de n</w:t>
      </w:r>
      <w:r w:rsidR="00BC39CE" w:rsidRPr="00E45327">
        <w:t>e pas être sincère sur lui-même ou sur sa relation avec les enquêtés alors qu’elle est au cœur de l’interprétation des données</w:t>
      </w:r>
      <w:r w:rsidR="00E45327">
        <w:t>. P</w:t>
      </w:r>
      <w:r w:rsidRPr="00E45327">
        <w:t xml:space="preserve">ar exemple, Daniel </w:t>
      </w:r>
      <w:proofErr w:type="spellStart"/>
      <w:r w:rsidRPr="00E45327">
        <w:t>Bizeul</w:t>
      </w:r>
      <w:proofErr w:type="spellEnd"/>
      <w:r w:rsidRPr="00E45327">
        <w:t xml:space="preserve"> relève dans ses notes comment à certains moments il a pu </w:t>
      </w:r>
      <w:r w:rsidR="001B05F1" w:rsidRPr="00E45327">
        <w:t>se faire happer</w:t>
      </w:r>
      <w:r w:rsidRPr="00E45327">
        <w:t xml:space="preserve"> par ses enquêtés</w:t>
      </w:r>
      <w:r w:rsidR="001B05F1" w:rsidRPr="00E45327">
        <w:t xml:space="preserve"> : il peut le relever et le dépasser parce qu’il a pris des notes sincères </w:t>
      </w:r>
      <w:r w:rsidR="00B407AA">
        <w:t xml:space="preserve">au moment de l’enquête </w:t>
      </w:r>
      <w:r w:rsidR="001B05F1" w:rsidRPr="00E45327">
        <w:t>sans penser à la manière dont il pouvait se mettre en danger lui-même (</w:t>
      </w:r>
      <w:r w:rsidR="00E45327">
        <w:t>en r</w:t>
      </w:r>
      <w:r w:rsidR="001B05F1" w:rsidRPr="00E45327">
        <w:t>isqu</w:t>
      </w:r>
      <w:r w:rsidR="00E45327">
        <w:t>ant</w:t>
      </w:r>
      <w:r w:rsidR="001B05F1" w:rsidRPr="00E45327">
        <w:t xml:space="preserve"> de passer pour proche du FN auprès de ses collègues)</w:t>
      </w:r>
      <w:r w:rsidR="00E45327">
        <w:t>.</w:t>
      </w:r>
    </w:p>
    <w:p w14:paraId="3AC6912A" w14:textId="77777777" w:rsidR="001B05F1" w:rsidRPr="00E45327" w:rsidRDefault="001B05F1" w:rsidP="005D049E"/>
    <w:p w14:paraId="161E16A6" w14:textId="53299ED0" w:rsidR="00E15C59" w:rsidRPr="00E45327" w:rsidRDefault="00A84D2E" w:rsidP="00A84D2E">
      <w:pPr>
        <w:ind w:firstLine="708"/>
      </w:pPr>
      <w:r w:rsidRPr="00E45327">
        <w:t xml:space="preserve">Voilà </w:t>
      </w:r>
      <w:r>
        <w:t>quelques</w:t>
      </w:r>
      <w:r w:rsidRPr="00E45327">
        <w:t xml:space="preserve"> </w:t>
      </w:r>
      <w:r>
        <w:t>considérations qui ont été suscitées par vos questions</w:t>
      </w:r>
      <w:r>
        <w:t>. J’ai insisté à la fois sur l’ancienneté des débats et sur leur actualité, qui montrent que les questions de consentement des enquêtés ou de l</w:t>
      </w:r>
      <w:r w:rsidR="00CF3ADE">
        <w:t>’ouverture des données</w:t>
      </w:r>
      <w:r>
        <w:t xml:space="preserve"> sont toujours discutées et </w:t>
      </w:r>
      <w:r>
        <w:t xml:space="preserve">continueront sans doute de l’être à l’épreuve de nouveaux terrains. </w:t>
      </w:r>
      <w:r>
        <w:t xml:space="preserve">Sans doute que l’ouverture de « la » science </w:t>
      </w:r>
      <w:r w:rsidR="00CF3ADE">
        <w:t>suppose</w:t>
      </w:r>
      <w:r>
        <w:t>ra</w:t>
      </w:r>
      <w:r w:rsidR="00CF3ADE">
        <w:t xml:space="preserve"> </w:t>
      </w:r>
      <w:r>
        <w:t>de s’ajuster</w:t>
      </w:r>
      <w:r w:rsidR="00CF3ADE">
        <w:t xml:space="preserve"> aux manières de faire des sciences sociales</w:t>
      </w:r>
      <w:r>
        <w:t>,</w:t>
      </w:r>
      <w:r w:rsidR="00CF3ADE">
        <w:t xml:space="preserve"> à la diversité de leurs pratiques</w:t>
      </w:r>
      <w:r>
        <w:t xml:space="preserve"> et à leurs évolutions</w:t>
      </w:r>
      <w:r w:rsidR="00CF3ADE">
        <w:t xml:space="preserve">. </w:t>
      </w:r>
    </w:p>
    <w:p w14:paraId="0B9FBEE4" w14:textId="759F548F" w:rsidR="00E15C59" w:rsidRPr="00E45327" w:rsidRDefault="00E15C59" w:rsidP="005D049E"/>
    <w:p w14:paraId="0FE85E5A" w14:textId="3A66B866" w:rsidR="00A6420D" w:rsidRPr="00AB2A15" w:rsidRDefault="00F4798A" w:rsidP="00A6420D">
      <w:pPr>
        <w:rPr>
          <w:b/>
          <w:bCs/>
        </w:rPr>
      </w:pPr>
      <w:r>
        <w:rPr>
          <w:b/>
          <w:bCs/>
        </w:rPr>
        <w:t>Textes</w:t>
      </w:r>
      <w:r w:rsidR="000D3288" w:rsidRPr="00AB2A15">
        <w:rPr>
          <w:b/>
          <w:bCs/>
        </w:rPr>
        <w:t xml:space="preserve"> cités</w:t>
      </w:r>
      <w:r>
        <w:rPr>
          <w:b/>
          <w:bCs/>
        </w:rPr>
        <w:t> :</w:t>
      </w:r>
    </w:p>
    <w:p w14:paraId="1A7CD1DD" w14:textId="51205B4A" w:rsidR="00EC7566" w:rsidRPr="00AB2A15" w:rsidRDefault="00EC7566" w:rsidP="00EC7566">
      <w:proofErr w:type="spellStart"/>
      <w:r w:rsidRPr="00AB2A15">
        <w:t>Arborio</w:t>
      </w:r>
      <w:proofErr w:type="spellEnd"/>
      <w:r w:rsidRPr="00AB2A15">
        <w:t xml:space="preserve"> Anne-Marie (2014). </w:t>
      </w:r>
      <w:r w:rsidRPr="00AB2A15">
        <w:t xml:space="preserve">La production hospitalière de médicaments, en marge de l’industrie privée ou en </w:t>
      </w:r>
      <w:proofErr w:type="gramStart"/>
      <w:r w:rsidRPr="00AB2A15">
        <w:t>appui ?</w:t>
      </w:r>
      <w:r w:rsidRPr="00AB2A15">
        <w:t>.</w:t>
      </w:r>
      <w:proofErr w:type="gramEnd"/>
      <w:r w:rsidRPr="00AB2A15">
        <w:t xml:space="preserve"> </w:t>
      </w:r>
      <w:proofErr w:type="gramStart"/>
      <w:r w:rsidRPr="00AB2A15">
        <w:rPr>
          <w:i/>
        </w:rPr>
        <w:t>in</w:t>
      </w:r>
      <w:proofErr w:type="gramEnd"/>
      <w:r w:rsidRPr="00AB2A15">
        <w:t xml:space="preserve"> Pierre Fournier, Cédric </w:t>
      </w:r>
      <w:proofErr w:type="spellStart"/>
      <w:r w:rsidRPr="00AB2A15">
        <w:t>Lomba</w:t>
      </w:r>
      <w:proofErr w:type="spellEnd"/>
      <w:r w:rsidRPr="00AB2A15">
        <w:t>, Séverin Muller (</w:t>
      </w:r>
      <w:proofErr w:type="spellStart"/>
      <w:r w:rsidRPr="00AB2A15">
        <w:t>Dir</w:t>
      </w:r>
      <w:proofErr w:type="spellEnd"/>
      <w:r w:rsidRPr="00AB2A15">
        <w:t xml:space="preserve">.), </w:t>
      </w:r>
      <w:r w:rsidRPr="00AB2A15">
        <w:rPr>
          <w:i/>
        </w:rPr>
        <w:t>Les travailleurs du médicament. L'industrie pharmaceutique sous observation</w:t>
      </w:r>
      <w:r w:rsidRPr="00AB2A15">
        <w:t>.</w:t>
      </w:r>
      <w:r w:rsidRPr="00AB2A15">
        <w:t xml:space="preserve"> Toulouse, </w:t>
      </w:r>
      <w:proofErr w:type="spellStart"/>
      <w:r w:rsidRPr="00AB2A15">
        <w:t>Erès</w:t>
      </w:r>
      <w:proofErr w:type="spellEnd"/>
      <w:r w:rsidRPr="00AB2A15">
        <w:t>, Coll. Clinique du travail, 2014, pp. 77-99.</w:t>
      </w:r>
    </w:p>
    <w:p w14:paraId="192B4A39" w14:textId="77777777" w:rsidR="00AB2A15" w:rsidRPr="00AB2A15" w:rsidRDefault="00AB2A15" w:rsidP="00AB2A15">
      <w:r w:rsidRPr="000D3288">
        <w:rPr>
          <w:rFonts w:eastAsia="Times New Roman" w:cs="Times New Roman"/>
          <w:kern w:val="36"/>
          <w:lang w:eastAsia="fr-FR"/>
        </w:rPr>
        <w:t>Aldrin</w:t>
      </w:r>
      <w:r w:rsidRPr="00AB2A15">
        <w:rPr>
          <w:rFonts w:eastAsia="Times New Roman" w:cs="Times New Roman"/>
          <w:kern w:val="36"/>
          <w:lang w:eastAsia="fr-FR"/>
        </w:rPr>
        <w:t xml:space="preserve"> </w:t>
      </w:r>
      <w:r w:rsidRPr="000D3288">
        <w:rPr>
          <w:rFonts w:eastAsia="Times New Roman" w:cs="Times New Roman"/>
          <w:kern w:val="36"/>
          <w:lang w:eastAsia="fr-FR"/>
        </w:rPr>
        <w:t>Philippe, Fournier</w:t>
      </w:r>
      <w:r w:rsidRPr="00AB2A15">
        <w:rPr>
          <w:rFonts w:eastAsia="Times New Roman" w:cs="Times New Roman"/>
          <w:kern w:val="36"/>
          <w:lang w:eastAsia="fr-FR"/>
        </w:rPr>
        <w:t xml:space="preserve"> </w:t>
      </w:r>
      <w:r w:rsidRPr="000D3288">
        <w:rPr>
          <w:rFonts w:eastAsia="Times New Roman" w:cs="Times New Roman"/>
          <w:kern w:val="36"/>
          <w:lang w:eastAsia="fr-FR"/>
        </w:rPr>
        <w:t xml:space="preserve">Pierre, </w:t>
      </w:r>
      <w:proofErr w:type="spellStart"/>
      <w:r w:rsidRPr="000D3288">
        <w:rPr>
          <w:rFonts w:eastAsia="Times New Roman" w:cs="Times New Roman"/>
          <w:kern w:val="36"/>
          <w:lang w:eastAsia="fr-FR"/>
        </w:rPr>
        <w:t>Geisser</w:t>
      </w:r>
      <w:proofErr w:type="spellEnd"/>
      <w:r w:rsidRPr="000D3288">
        <w:rPr>
          <w:rFonts w:eastAsia="Times New Roman" w:cs="Times New Roman"/>
          <w:kern w:val="36"/>
          <w:lang w:eastAsia="fr-FR"/>
        </w:rPr>
        <w:t xml:space="preserve"> Vincent</w:t>
      </w:r>
      <w:r w:rsidRPr="00AB2A15">
        <w:rPr>
          <w:rFonts w:eastAsia="Times New Roman" w:cs="Times New Roman"/>
          <w:kern w:val="36"/>
          <w:lang w:eastAsia="fr-FR"/>
        </w:rPr>
        <w:t>,</w:t>
      </w:r>
      <w:r w:rsidRPr="000D3288">
        <w:rPr>
          <w:rFonts w:eastAsia="Times New Roman" w:cs="Times New Roman"/>
          <w:kern w:val="36"/>
          <w:lang w:eastAsia="fr-FR"/>
        </w:rPr>
        <w:t xml:space="preserve"> </w:t>
      </w:r>
      <w:proofErr w:type="spellStart"/>
      <w:r w:rsidRPr="000D3288">
        <w:rPr>
          <w:rFonts w:eastAsia="Times New Roman" w:cs="Times New Roman"/>
          <w:kern w:val="36"/>
          <w:lang w:eastAsia="fr-FR"/>
        </w:rPr>
        <w:t>Mirman</w:t>
      </w:r>
      <w:proofErr w:type="spellEnd"/>
      <w:r w:rsidRPr="000D3288">
        <w:rPr>
          <w:rFonts w:eastAsia="Times New Roman" w:cs="Times New Roman"/>
          <w:kern w:val="36"/>
          <w:lang w:eastAsia="fr-FR"/>
        </w:rPr>
        <w:t xml:space="preserve"> </w:t>
      </w:r>
      <w:r w:rsidRPr="00AB2A15">
        <w:rPr>
          <w:rFonts w:eastAsia="Times New Roman" w:cs="Times New Roman"/>
          <w:kern w:val="36"/>
          <w:lang w:eastAsia="fr-FR"/>
        </w:rPr>
        <w:t xml:space="preserve">Yves </w:t>
      </w:r>
      <w:r w:rsidRPr="000D3288">
        <w:rPr>
          <w:rFonts w:eastAsia="Times New Roman" w:cs="Times New Roman"/>
          <w:kern w:val="36"/>
          <w:lang w:eastAsia="fr-FR"/>
        </w:rPr>
        <w:t>(</w:t>
      </w:r>
      <w:proofErr w:type="spellStart"/>
      <w:r w:rsidRPr="000D3288">
        <w:rPr>
          <w:rFonts w:eastAsia="Times New Roman" w:cs="Times New Roman"/>
          <w:kern w:val="36"/>
          <w:lang w:eastAsia="fr-FR"/>
        </w:rPr>
        <w:t>dir</w:t>
      </w:r>
      <w:proofErr w:type="spellEnd"/>
      <w:r w:rsidRPr="000D3288">
        <w:rPr>
          <w:rFonts w:eastAsia="Times New Roman" w:cs="Times New Roman"/>
          <w:kern w:val="36"/>
          <w:lang w:eastAsia="fr-FR"/>
        </w:rPr>
        <w:t>.)</w:t>
      </w:r>
      <w:r w:rsidRPr="00AB2A15">
        <w:rPr>
          <w:rFonts w:eastAsia="Times New Roman" w:cs="Times New Roman"/>
          <w:kern w:val="36"/>
          <w:lang w:eastAsia="fr-FR"/>
        </w:rPr>
        <w:t xml:space="preserve"> (</w:t>
      </w:r>
      <w:r w:rsidRPr="000D3288">
        <w:rPr>
          <w:rFonts w:eastAsia="Times New Roman" w:cs="Times New Roman"/>
          <w:lang w:eastAsia="fr-FR"/>
        </w:rPr>
        <w:t>2022</w:t>
      </w:r>
      <w:r w:rsidRPr="00AB2A15">
        <w:rPr>
          <w:rFonts w:eastAsia="Times New Roman" w:cs="Times New Roman"/>
          <w:lang w:eastAsia="fr-FR"/>
        </w:rPr>
        <w:t>)</w:t>
      </w:r>
      <w:r w:rsidRPr="00AB2A15">
        <w:rPr>
          <w:rFonts w:eastAsia="Times New Roman" w:cs="Times New Roman"/>
          <w:kern w:val="36"/>
          <w:lang w:eastAsia="fr-FR"/>
        </w:rPr>
        <w:t xml:space="preserve">. </w:t>
      </w:r>
      <w:r w:rsidRPr="000D3288">
        <w:rPr>
          <w:rFonts w:eastAsia="Times New Roman" w:cs="Times New Roman"/>
          <w:i/>
          <w:iCs/>
          <w:kern w:val="36"/>
          <w:lang w:eastAsia="fr-FR"/>
        </w:rPr>
        <w:t>L’enquête en danger. Vers un nouveau régime de surveillance dans les sciences sociales</w:t>
      </w:r>
      <w:r w:rsidRPr="00AB2A15">
        <w:rPr>
          <w:rFonts w:eastAsia="Times New Roman" w:cs="Times New Roman"/>
          <w:kern w:val="36"/>
          <w:lang w:eastAsia="fr-FR"/>
        </w:rPr>
        <w:t xml:space="preserve">. </w:t>
      </w:r>
      <w:r w:rsidRPr="000D3288">
        <w:rPr>
          <w:rFonts w:eastAsia="Times New Roman" w:cs="Times New Roman"/>
          <w:lang w:eastAsia="fr-FR"/>
        </w:rPr>
        <w:t>Armand Colin, Paris, 384 p.</w:t>
      </w:r>
    </w:p>
    <w:p w14:paraId="7D91D4B9" w14:textId="77777777" w:rsidR="00EC7566" w:rsidRPr="00AB2A15" w:rsidRDefault="000D3288" w:rsidP="00EC7566">
      <w:r w:rsidRPr="00AB2A15">
        <w:rPr>
          <w:rStyle w:val="lev"/>
          <w:b w:val="0"/>
          <w:bCs w:val="0"/>
        </w:rPr>
        <w:lastRenderedPageBreak/>
        <w:t>Laurens Sylvain, Neyrat Frédéric</w:t>
      </w:r>
      <w:r w:rsidRPr="00AB2A15">
        <w:rPr>
          <w:rStyle w:val="lev"/>
          <w:b w:val="0"/>
          <w:bCs w:val="0"/>
        </w:rPr>
        <w:t xml:space="preserve"> (</w:t>
      </w:r>
      <w:proofErr w:type="spellStart"/>
      <w:r w:rsidRPr="00AB2A15">
        <w:rPr>
          <w:rStyle w:val="lev"/>
          <w:b w:val="0"/>
          <w:bCs w:val="0"/>
        </w:rPr>
        <w:t>dir</w:t>
      </w:r>
      <w:proofErr w:type="spellEnd"/>
      <w:r w:rsidRPr="00AB2A15">
        <w:rPr>
          <w:rStyle w:val="lev"/>
          <w:b w:val="0"/>
          <w:bCs w:val="0"/>
        </w:rPr>
        <w:t>.)</w:t>
      </w:r>
      <w:r w:rsidR="003E3CA2" w:rsidRPr="00AB2A15">
        <w:rPr>
          <w:rStyle w:val="lev"/>
          <w:b w:val="0"/>
          <w:bCs w:val="0"/>
        </w:rPr>
        <w:t xml:space="preserve"> (</w:t>
      </w:r>
      <w:r w:rsidR="003E3CA2" w:rsidRPr="00AB2A15">
        <w:t>2010</w:t>
      </w:r>
      <w:r w:rsidR="003E3CA2" w:rsidRPr="00AB2A15">
        <w:t xml:space="preserve">). </w:t>
      </w:r>
      <w:r w:rsidRPr="00AB2A15">
        <w:rPr>
          <w:rStyle w:val="Accentuation"/>
        </w:rPr>
        <w:t xml:space="preserve">Enquêter : de quel droit ? Menaces sur l'enquête en sciences </w:t>
      </w:r>
      <w:proofErr w:type="spellStart"/>
      <w:proofErr w:type="gramStart"/>
      <w:r w:rsidRPr="00AB2A15">
        <w:rPr>
          <w:rStyle w:val="Accentuation"/>
        </w:rPr>
        <w:t>sociales</w:t>
      </w:r>
      <w:r w:rsidRPr="00AB2A15">
        <w:t>,</w:t>
      </w:r>
      <w:r w:rsidR="003E3CA2" w:rsidRPr="00AB2A15">
        <w:t>.</w:t>
      </w:r>
      <w:proofErr w:type="gramEnd"/>
      <w:r w:rsidRPr="00AB2A15">
        <w:t>Éditions</w:t>
      </w:r>
      <w:proofErr w:type="spellEnd"/>
      <w:r w:rsidRPr="00AB2A15">
        <w:t xml:space="preserve"> du Croquant, 320 p.</w:t>
      </w:r>
    </w:p>
    <w:p w14:paraId="0D7F4587" w14:textId="048BF6AB" w:rsidR="000D3288" w:rsidRPr="000D3288" w:rsidRDefault="000D3288" w:rsidP="00EC7566">
      <w:proofErr w:type="spellStart"/>
      <w:r w:rsidRPr="00AB2A15">
        <w:t>Bizeul</w:t>
      </w:r>
      <w:proofErr w:type="spellEnd"/>
      <w:r w:rsidRPr="00AB2A15">
        <w:t>, D</w:t>
      </w:r>
      <w:r w:rsidRPr="00AB2A15">
        <w:t xml:space="preserve">aniel </w:t>
      </w:r>
      <w:r w:rsidRPr="00AB2A15">
        <w:t xml:space="preserve">(2021). Faut-il tout dévoiler d’une enquête au Front national ? Réflexions sur le partage des données et le devoir éthique en sociologie. </w:t>
      </w:r>
      <w:r w:rsidRPr="00AB2A15">
        <w:rPr>
          <w:i/>
          <w:iCs/>
        </w:rPr>
        <w:t xml:space="preserve">Bulletin of </w:t>
      </w:r>
      <w:proofErr w:type="spellStart"/>
      <w:r w:rsidRPr="00AB2A15">
        <w:rPr>
          <w:i/>
          <w:iCs/>
        </w:rPr>
        <w:t>Sociological</w:t>
      </w:r>
      <w:proofErr w:type="spellEnd"/>
      <w:r w:rsidRPr="00AB2A15">
        <w:rPr>
          <w:i/>
          <w:iCs/>
        </w:rPr>
        <w:t xml:space="preserve"> </w:t>
      </w:r>
      <w:proofErr w:type="spellStart"/>
      <w:r w:rsidRPr="00AB2A15">
        <w:rPr>
          <w:i/>
          <w:iCs/>
        </w:rPr>
        <w:t>Methodology</w:t>
      </w:r>
      <w:proofErr w:type="spellEnd"/>
      <w:r w:rsidRPr="00AB2A15">
        <w:rPr>
          <w:i/>
          <w:iCs/>
        </w:rPr>
        <w:t>/Bulletin de Méthodologie Sociologique</w:t>
      </w:r>
      <w:r w:rsidRPr="00AB2A15">
        <w:t xml:space="preserve">, </w:t>
      </w:r>
      <w:r w:rsidRPr="00AB2A15">
        <w:rPr>
          <w:i/>
          <w:iCs/>
        </w:rPr>
        <w:t>150</w:t>
      </w:r>
      <w:r w:rsidRPr="00AB2A15">
        <w:t>(1), 70-105.</w:t>
      </w:r>
    </w:p>
    <w:p w14:paraId="35E3B5CE" w14:textId="77777777" w:rsidR="000D3288" w:rsidRPr="00AB2A15" w:rsidRDefault="000D3288" w:rsidP="00A6420D"/>
    <w:p w14:paraId="51200F74" w14:textId="46728463" w:rsidR="00EE70CD" w:rsidRPr="00AB2A15" w:rsidRDefault="00EE70CD" w:rsidP="00B80C47">
      <w:pPr>
        <w:jc w:val="left"/>
      </w:pPr>
    </w:p>
    <w:sectPr w:rsidR="00EE70CD" w:rsidRPr="00AB2A1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C744" w14:textId="77777777" w:rsidR="00235882" w:rsidRDefault="00235882" w:rsidP="00D92999">
      <w:r>
        <w:separator/>
      </w:r>
    </w:p>
  </w:endnote>
  <w:endnote w:type="continuationSeparator" w:id="0">
    <w:p w14:paraId="79E198DE" w14:textId="77777777" w:rsidR="00235882" w:rsidRDefault="00235882" w:rsidP="00D9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43762361"/>
      <w:docPartObj>
        <w:docPartGallery w:val="Page Numbers (Bottom of Page)"/>
        <w:docPartUnique/>
      </w:docPartObj>
    </w:sdtPr>
    <w:sdtContent>
      <w:p w14:paraId="25532E69" w14:textId="3A376865" w:rsidR="00D92999" w:rsidRDefault="00D92999" w:rsidP="00BB4B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EFBDDA" w14:textId="77777777" w:rsidR="00D92999" w:rsidRDefault="00D92999" w:rsidP="00D929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0735897"/>
      <w:docPartObj>
        <w:docPartGallery w:val="Page Numbers (Bottom of Page)"/>
        <w:docPartUnique/>
      </w:docPartObj>
    </w:sdtPr>
    <w:sdtContent>
      <w:p w14:paraId="016D10CD" w14:textId="7E4BCF1D" w:rsidR="00D92999" w:rsidRDefault="00D92999" w:rsidP="00BB4B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7D85621" w14:textId="77777777" w:rsidR="00D92999" w:rsidRDefault="00D92999" w:rsidP="00D9299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DE70" w14:textId="77777777" w:rsidR="00235882" w:rsidRDefault="00235882" w:rsidP="00D92999">
      <w:r>
        <w:separator/>
      </w:r>
    </w:p>
  </w:footnote>
  <w:footnote w:type="continuationSeparator" w:id="0">
    <w:p w14:paraId="136B4334" w14:textId="77777777" w:rsidR="00235882" w:rsidRDefault="00235882" w:rsidP="00D9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66109"/>
    <w:multiLevelType w:val="hybridMultilevel"/>
    <w:tmpl w:val="F0FA635C"/>
    <w:lvl w:ilvl="0" w:tplc="CE90EE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BD7B09"/>
    <w:multiLevelType w:val="hybridMultilevel"/>
    <w:tmpl w:val="C3C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3626867">
    <w:abstractNumId w:val="0"/>
  </w:num>
  <w:num w:numId="2" w16cid:durableId="176155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8"/>
    <w:rsid w:val="0000078B"/>
    <w:rsid w:val="00010571"/>
    <w:rsid w:val="000528E3"/>
    <w:rsid w:val="000533F1"/>
    <w:rsid w:val="0008152A"/>
    <w:rsid w:val="00082210"/>
    <w:rsid w:val="000A3D36"/>
    <w:rsid w:val="000B1364"/>
    <w:rsid w:val="000D3288"/>
    <w:rsid w:val="000D6AA8"/>
    <w:rsid w:val="0011467F"/>
    <w:rsid w:val="001439DB"/>
    <w:rsid w:val="001B05F1"/>
    <w:rsid w:val="001B4870"/>
    <w:rsid w:val="00204EAB"/>
    <w:rsid w:val="00230239"/>
    <w:rsid w:val="00235882"/>
    <w:rsid w:val="00247AFF"/>
    <w:rsid w:val="002D19A1"/>
    <w:rsid w:val="002E13CA"/>
    <w:rsid w:val="00333A88"/>
    <w:rsid w:val="00344CCF"/>
    <w:rsid w:val="003E3CA2"/>
    <w:rsid w:val="003E6802"/>
    <w:rsid w:val="00440496"/>
    <w:rsid w:val="004522B8"/>
    <w:rsid w:val="00492E48"/>
    <w:rsid w:val="004E3AED"/>
    <w:rsid w:val="00521CC7"/>
    <w:rsid w:val="005351C8"/>
    <w:rsid w:val="005D049E"/>
    <w:rsid w:val="005D73F8"/>
    <w:rsid w:val="00621A6F"/>
    <w:rsid w:val="0063336A"/>
    <w:rsid w:val="006613E1"/>
    <w:rsid w:val="00702698"/>
    <w:rsid w:val="0071752B"/>
    <w:rsid w:val="007311AC"/>
    <w:rsid w:val="00777D39"/>
    <w:rsid w:val="007E0CA7"/>
    <w:rsid w:val="00854628"/>
    <w:rsid w:val="008F0B99"/>
    <w:rsid w:val="009B35F4"/>
    <w:rsid w:val="009E3E88"/>
    <w:rsid w:val="00A6420D"/>
    <w:rsid w:val="00A84C07"/>
    <w:rsid w:val="00A84D2E"/>
    <w:rsid w:val="00AB2A15"/>
    <w:rsid w:val="00B0587E"/>
    <w:rsid w:val="00B407AA"/>
    <w:rsid w:val="00B508B4"/>
    <w:rsid w:val="00B80C47"/>
    <w:rsid w:val="00BB3746"/>
    <w:rsid w:val="00BC39CE"/>
    <w:rsid w:val="00CF3ADE"/>
    <w:rsid w:val="00D92999"/>
    <w:rsid w:val="00E078D0"/>
    <w:rsid w:val="00E15C59"/>
    <w:rsid w:val="00E23546"/>
    <w:rsid w:val="00E4316B"/>
    <w:rsid w:val="00E45327"/>
    <w:rsid w:val="00EC7566"/>
    <w:rsid w:val="00EE70CD"/>
    <w:rsid w:val="00F4798A"/>
    <w:rsid w:val="00F51DA7"/>
    <w:rsid w:val="00F94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76AE88"/>
  <w15:chartTrackingRefBased/>
  <w15:docId w15:val="{F5666AF6-74C0-644F-A4C1-D7F961F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10"/>
    <w:pPr>
      <w:jc w:val="both"/>
    </w:pPr>
    <w:rPr>
      <w:rFonts w:ascii="Times New Roman" w:hAnsi="Times New Roman"/>
    </w:rPr>
  </w:style>
  <w:style w:type="paragraph" w:styleId="Titre1">
    <w:name w:val="heading 1"/>
    <w:basedOn w:val="Normal"/>
    <w:link w:val="Titre1Car"/>
    <w:uiPriority w:val="9"/>
    <w:qFormat/>
    <w:rsid w:val="00492E48"/>
    <w:pPr>
      <w:spacing w:before="100" w:beforeAutospacing="1" w:after="100" w:afterAutospacing="1"/>
      <w:jc w:val="left"/>
      <w:outlineLvl w:val="0"/>
    </w:pPr>
    <w:rPr>
      <w:rFonts w:eastAsia="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9B35F4"/>
    <w:rPr>
      <w:caps w:val="0"/>
      <w:smallCaps w:val="0"/>
      <w:strike w:val="0"/>
      <w:dstrike w:val="0"/>
      <w:vanish w:val="0"/>
      <w:sz w:val="22"/>
      <w:vertAlign w:val="superscript"/>
    </w:rPr>
  </w:style>
  <w:style w:type="paragraph" w:styleId="Paragraphedeliste">
    <w:name w:val="List Paragraph"/>
    <w:basedOn w:val="Normal"/>
    <w:uiPriority w:val="34"/>
    <w:qFormat/>
    <w:rsid w:val="00333A88"/>
    <w:pPr>
      <w:ind w:left="720"/>
      <w:contextualSpacing/>
    </w:pPr>
  </w:style>
  <w:style w:type="paragraph" w:styleId="Rvision">
    <w:name w:val="Revision"/>
    <w:hidden/>
    <w:uiPriority w:val="99"/>
    <w:semiHidden/>
    <w:rsid w:val="001B4870"/>
    <w:rPr>
      <w:rFonts w:ascii="Times New Roman" w:hAnsi="Times New Roman"/>
    </w:rPr>
  </w:style>
  <w:style w:type="paragraph" w:styleId="Pieddepage">
    <w:name w:val="footer"/>
    <w:basedOn w:val="Normal"/>
    <w:link w:val="PieddepageCar"/>
    <w:uiPriority w:val="99"/>
    <w:unhideWhenUsed/>
    <w:rsid w:val="00D92999"/>
    <w:pPr>
      <w:tabs>
        <w:tab w:val="center" w:pos="4536"/>
        <w:tab w:val="right" w:pos="9072"/>
      </w:tabs>
    </w:pPr>
  </w:style>
  <w:style w:type="character" w:customStyle="1" w:styleId="PieddepageCar">
    <w:name w:val="Pied de page Car"/>
    <w:basedOn w:val="Policepardfaut"/>
    <w:link w:val="Pieddepage"/>
    <w:uiPriority w:val="99"/>
    <w:rsid w:val="00D92999"/>
    <w:rPr>
      <w:rFonts w:ascii="Times New Roman" w:hAnsi="Times New Roman"/>
    </w:rPr>
  </w:style>
  <w:style w:type="character" w:styleId="Numrodepage">
    <w:name w:val="page number"/>
    <w:basedOn w:val="Policepardfaut"/>
    <w:uiPriority w:val="99"/>
    <w:semiHidden/>
    <w:unhideWhenUsed/>
    <w:rsid w:val="00D92999"/>
  </w:style>
  <w:style w:type="character" w:customStyle="1" w:styleId="Titre1Car">
    <w:name w:val="Titre 1 Car"/>
    <w:basedOn w:val="Policepardfaut"/>
    <w:link w:val="Titre1"/>
    <w:uiPriority w:val="9"/>
    <w:rsid w:val="00492E4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92E48"/>
    <w:rPr>
      <w:color w:val="0000FF"/>
      <w:u w:val="single"/>
    </w:rPr>
  </w:style>
  <w:style w:type="character" w:styleId="lev">
    <w:name w:val="Strong"/>
    <w:basedOn w:val="Policepardfaut"/>
    <w:uiPriority w:val="22"/>
    <w:qFormat/>
    <w:rsid w:val="00492E48"/>
    <w:rPr>
      <w:b/>
      <w:bCs/>
    </w:rPr>
  </w:style>
  <w:style w:type="character" w:customStyle="1" w:styleId="familyname">
    <w:name w:val="familyname"/>
    <w:basedOn w:val="Policepardfaut"/>
    <w:rsid w:val="00492E48"/>
  </w:style>
  <w:style w:type="character" w:styleId="Accentuation">
    <w:name w:val="Emphasis"/>
    <w:basedOn w:val="Policepardfaut"/>
    <w:uiPriority w:val="20"/>
    <w:qFormat/>
    <w:rsid w:val="00492E48"/>
    <w:rPr>
      <w:i/>
      <w:iCs/>
    </w:rPr>
  </w:style>
  <w:style w:type="character" w:customStyle="1" w:styleId="text">
    <w:name w:val="text"/>
    <w:basedOn w:val="Policepardfaut"/>
    <w:rsid w:val="000D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5115">
      <w:bodyDiv w:val="1"/>
      <w:marLeft w:val="0"/>
      <w:marRight w:val="0"/>
      <w:marTop w:val="0"/>
      <w:marBottom w:val="0"/>
      <w:divBdr>
        <w:top w:val="none" w:sz="0" w:space="0" w:color="auto"/>
        <w:left w:val="none" w:sz="0" w:space="0" w:color="auto"/>
        <w:bottom w:val="none" w:sz="0" w:space="0" w:color="auto"/>
        <w:right w:val="none" w:sz="0" w:space="0" w:color="auto"/>
      </w:divBdr>
      <w:divsChild>
        <w:div w:id="605965658">
          <w:marLeft w:val="0"/>
          <w:marRight w:val="0"/>
          <w:marTop w:val="0"/>
          <w:marBottom w:val="0"/>
          <w:divBdr>
            <w:top w:val="none" w:sz="0" w:space="0" w:color="auto"/>
            <w:left w:val="none" w:sz="0" w:space="0" w:color="auto"/>
            <w:bottom w:val="none" w:sz="0" w:space="0" w:color="auto"/>
            <w:right w:val="none" w:sz="0" w:space="0" w:color="auto"/>
          </w:divBdr>
        </w:div>
        <w:div w:id="10764937">
          <w:marLeft w:val="0"/>
          <w:marRight w:val="0"/>
          <w:marTop w:val="0"/>
          <w:marBottom w:val="0"/>
          <w:divBdr>
            <w:top w:val="none" w:sz="0" w:space="0" w:color="auto"/>
            <w:left w:val="none" w:sz="0" w:space="0" w:color="auto"/>
            <w:bottom w:val="none" w:sz="0" w:space="0" w:color="auto"/>
            <w:right w:val="none" w:sz="0" w:space="0" w:color="auto"/>
          </w:divBdr>
          <w:divsChild>
            <w:div w:id="1563640983">
              <w:marLeft w:val="0"/>
              <w:marRight w:val="0"/>
              <w:marTop w:val="0"/>
              <w:marBottom w:val="0"/>
              <w:divBdr>
                <w:top w:val="none" w:sz="0" w:space="0" w:color="auto"/>
                <w:left w:val="none" w:sz="0" w:space="0" w:color="auto"/>
                <w:bottom w:val="none" w:sz="0" w:space="0" w:color="auto"/>
                <w:right w:val="none" w:sz="0" w:space="0" w:color="auto"/>
              </w:divBdr>
              <w:divsChild>
                <w:div w:id="851994467">
                  <w:marLeft w:val="0"/>
                  <w:marRight w:val="0"/>
                  <w:marTop w:val="0"/>
                  <w:marBottom w:val="0"/>
                  <w:divBdr>
                    <w:top w:val="none" w:sz="0" w:space="0" w:color="auto"/>
                    <w:left w:val="none" w:sz="0" w:space="0" w:color="auto"/>
                    <w:bottom w:val="none" w:sz="0" w:space="0" w:color="auto"/>
                    <w:right w:val="none" w:sz="0" w:space="0" w:color="auto"/>
                  </w:divBdr>
                  <w:divsChild>
                    <w:div w:id="341707241">
                      <w:marLeft w:val="0"/>
                      <w:marRight w:val="0"/>
                      <w:marTop w:val="0"/>
                      <w:marBottom w:val="0"/>
                      <w:divBdr>
                        <w:top w:val="none" w:sz="0" w:space="0" w:color="auto"/>
                        <w:left w:val="none" w:sz="0" w:space="0" w:color="auto"/>
                        <w:bottom w:val="none" w:sz="0" w:space="0" w:color="auto"/>
                        <w:right w:val="none" w:sz="0" w:space="0" w:color="auto"/>
                      </w:divBdr>
                      <w:divsChild>
                        <w:div w:id="796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540297">
      <w:bodyDiv w:val="1"/>
      <w:marLeft w:val="0"/>
      <w:marRight w:val="0"/>
      <w:marTop w:val="0"/>
      <w:marBottom w:val="0"/>
      <w:divBdr>
        <w:top w:val="none" w:sz="0" w:space="0" w:color="auto"/>
        <w:left w:val="none" w:sz="0" w:space="0" w:color="auto"/>
        <w:bottom w:val="none" w:sz="0" w:space="0" w:color="auto"/>
        <w:right w:val="none" w:sz="0" w:space="0" w:color="auto"/>
      </w:divBdr>
      <w:divsChild>
        <w:div w:id="97945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1263</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ARBORIO Anne marie</dc:creator>
  <cp:keywords/>
  <dc:description/>
  <cp:lastModifiedBy>ARBORIO Anne marie</cp:lastModifiedBy>
  <cp:revision>16</cp:revision>
  <cp:lastPrinted>2024-07-08T13:39:00Z</cp:lastPrinted>
  <dcterms:created xsi:type="dcterms:W3CDTF">2024-05-31T13:01:00Z</dcterms:created>
  <dcterms:modified xsi:type="dcterms:W3CDTF">2024-07-08T14:00:00Z</dcterms:modified>
</cp:coreProperties>
</file>